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B4" w:rsidRDefault="00D504B4" w:rsidP="00D504B4"/>
    <w:p w:rsidR="00D504B4" w:rsidRPr="005F6A7E" w:rsidRDefault="00D504B4" w:rsidP="00D504B4">
      <w:pPr>
        <w:jc w:val="center"/>
        <w:rPr>
          <w:b/>
          <w:color w:val="C00000"/>
          <w:sz w:val="24"/>
        </w:rPr>
      </w:pPr>
      <w:r w:rsidRPr="005F6A7E">
        <w:rPr>
          <w:b/>
          <w:color w:val="C00000"/>
          <w:sz w:val="24"/>
        </w:rPr>
        <w:t>COMMISSION « EXPLOITATION DES DONNEES DU TABLEAU DE BORD SANTE AU TRAVAIL »</w:t>
      </w:r>
    </w:p>
    <w:p w:rsidR="00D504B4" w:rsidRPr="005F6A7E" w:rsidRDefault="005F6A7E">
      <w:pPr>
        <w:rPr>
          <w:b/>
          <w:color w:val="C00000"/>
        </w:rPr>
      </w:pPr>
      <w:r w:rsidRPr="005F6A7E">
        <w:rPr>
          <w:b/>
          <w:color w:val="C00000"/>
        </w:rPr>
        <w:t xml:space="preserve">CONTEXTE : </w:t>
      </w:r>
    </w:p>
    <w:p w:rsidR="00D504B4" w:rsidRDefault="00D504B4" w:rsidP="00D504B4">
      <w:pPr>
        <w:jc w:val="both"/>
      </w:pPr>
      <w:r>
        <w:t xml:space="preserve">Outil d’observation et de suivi de l’état de santé des populations au travail et des expositions aux risques professionnels, </w:t>
      </w:r>
      <w:r w:rsidRPr="00D504B4">
        <w:rPr>
          <w:b/>
        </w:rPr>
        <w:t>le Tableau de bord Santé  au travail en PACA</w:t>
      </w:r>
      <w:r>
        <w:t xml:space="preserve"> accompagne la politique de santé au travail dans notre région depuis les années 2000, et témoigne d’une dynamique partenariale remarquable sur notre territoire : il est</w:t>
      </w:r>
      <w:r w:rsidRPr="00F23BFE">
        <w:t xml:space="preserve"> le fruit de la collaboration de nombreux acteurs </w:t>
      </w:r>
      <w:r>
        <w:t xml:space="preserve">régionaux </w:t>
      </w:r>
      <w:r w:rsidRPr="00F23BFE">
        <w:t>qui ont contribué soit directement par la transmission de données, s</w:t>
      </w:r>
      <w:r>
        <w:t>oit par des commentaires écrits</w:t>
      </w:r>
      <w:r w:rsidRPr="00F23BFE">
        <w:t>.</w:t>
      </w:r>
    </w:p>
    <w:p w:rsidR="00D504B4" w:rsidRDefault="00D504B4" w:rsidP="00D504B4">
      <w:pPr>
        <w:jc w:val="both"/>
      </w:pPr>
      <w:r w:rsidRPr="00D504B4">
        <w:t xml:space="preserve">Le tableau de bord a pour ambition de mettre en perspective les données de </w:t>
      </w:r>
      <w:r w:rsidR="003266CD">
        <w:t xml:space="preserve">santé au travail : il offre aux membres du CROCT et du GPROCT, ainsi qu’aux </w:t>
      </w:r>
      <w:r w:rsidRPr="00D504B4">
        <w:t>acteurs chargés du suivi et de l’amélioration de l’état de santé des travailleurs, de la prévention des risques professionnels et du maintien en emploi,</w:t>
      </w:r>
      <w:r w:rsidR="003266CD">
        <w:t xml:space="preserve"> </w:t>
      </w:r>
      <w:r w:rsidRPr="00D504B4">
        <w:t xml:space="preserve"> un </w:t>
      </w:r>
      <w:r w:rsidRPr="00367F6C">
        <w:rPr>
          <w:b/>
        </w:rPr>
        <w:t xml:space="preserve">diagnostic régional </w:t>
      </w:r>
      <w:r w:rsidRPr="00D504B4">
        <w:t>composé de l’ensemble des données disponibles et significatifs sur le champ de la santé au travail : sinistralité, exposition aux risques professionnels spécifiques, état de santé de la population au travail et travaux menés sur les champs de la santé au travail.</w:t>
      </w:r>
    </w:p>
    <w:p w:rsidR="005F6A7E" w:rsidRDefault="00D504B4" w:rsidP="00D504B4">
      <w:pPr>
        <w:jc w:val="both"/>
      </w:pPr>
      <w:r w:rsidRPr="00D504B4">
        <w:t xml:space="preserve">Dans cette 5ème édition, les évolutions récentes de différents </w:t>
      </w:r>
      <w:r w:rsidR="005F6A7E">
        <w:t>indicateurs ont pu être</w:t>
      </w:r>
      <w:r w:rsidR="00367F6C">
        <w:t xml:space="preserve"> notées</w:t>
      </w:r>
      <w:r w:rsidR="005F6A7E">
        <w:t>, qu’il convient d’étudier et de mettre en débat au sein du CROCT.</w:t>
      </w:r>
    </w:p>
    <w:p w:rsidR="005F6A7E" w:rsidRDefault="005F6A7E" w:rsidP="00D504B4">
      <w:pPr>
        <w:jc w:val="both"/>
        <w:rPr>
          <w:b/>
          <w:color w:val="C00000"/>
        </w:rPr>
      </w:pPr>
      <w:r w:rsidRPr="005F6A7E">
        <w:rPr>
          <w:b/>
          <w:color w:val="C00000"/>
        </w:rPr>
        <w:t xml:space="preserve">OBJECTIFS </w:t>
      </w:r>
      <w:r>
        <w:rPr>
          <w:b/>
          <w:color w:val="C00000"/>
        </w:rPr>
        <w:t xml:space="preserve">DE LA COMMISSION </w:t>
      </w:r>
    </w:p>
    <w:p w:rsidR="005F6A7E" w:rsidRPr="005F6A7E" w:rsidRDefault="005F6A7E" w:rsidP="00B21869">
      <w:pPr>
        <w:pStyle w:val="Paragraphedeliste"/>
        <w:numPr>
          <w:ilvl w:val="0"/>
          <w:numId w:val="4"/>
        </w:numPr>
        <w:jc w:val="both"/>
      </w:pPr>
      <w:r w:rsidRPr="005F6A7E">
        <w:t>Exploiter les données mises en perspectives dans le tableau de bord santé au travail 2016</w:t>
      </w:r>
      <w:r w:rsidR="00B21869">
        <w:t> :</w:t>
      </w:r>
    </w:p>
    <w:p w:rsidR="005F6A7E" w:rsidRPr="005F6A7E" w:rsidRDefault="005F6A7E" w:rsidP="005F6A7E">
      <w:pPr>
        <w:pStyle w:val="Paragraphedeliste"/>
        <w:jc w:val="both"/>
        <w:rPr>
          <w:b/>
        </w:rPr>
      </w:pPr>
    </w:p>
    <w:p w:rsidR="005F6A7E" w:rsidRDefault="00721889" w:rsidP="005F6A7E">
      <w:pPr>
        <w:pStyle w:val="Paragraphedeliste"/>
        <w:numPr>
          <w:ilvl w:val="0"/>
          <w:numId w:val="2"/>
        </w:numPr>
        <w:jc w:val="both"/>
      </w:pPr>
      <w:r>
        <w:t>I</w:t>
      </w:r>
      <w:r w:rsidR="00B21869">
        <w:t xml:space="preserve">dentifier </w:t>
      </w:r>
      <w:r w:rsidR="005F6A7E">
        <w:t xml:space="preserve">les enjeux </w:t>
      </w:r>
      <w:r>
        <w:t xml:space="preserve">prioritaires </w:t>
      </w:r>
      <w:r w:rsidR="005F6A7E">
        <w:t xml:space="preserve">en santé au travail </w:t>
      </w:r>
      <w:r>
        <w:t xml:space="preserve">sur le </w:t>
      </w:r>
      <w:r w:rsidR="005F6A7E">
        <w:t>territoire</w:t>
      </w:r>
      <w:r>
        <w:t xml:space="preserve"> régional ;</w:t>
      </w:r>
    </w:p>
    <w:p w:rsidR="00B21869" w:rsidRDefault="00721889" w:rsidP="005F6A7E">
      <w:pPr>
        <w:pStyle w:val="Paragraphedeliste"/>
        <w:numPr>
          <w:ilvl w:val="0"/>
          <w:numId w:val="2"/>
        </w:numPr>
        <w:jc w:val="both"/>
      </w:pPr>
      <w:r>
        <w:t xml:space="preserve">Analyser </w:t>
      </w:r>
      <w:r w:rsidR="005F6A7E">
        <w:t xml:space="preserve">l’adéquation </w:t>
      </w:r>
      <w:r w:rsidR="00B21869">
        <w:t>entre ces enjeux et l</w:t>
      </w:r>
      <w:r w:rsidR="005F6A7E">
        <w:t xml:space="preserve">es actions </w:t>
      </w:r>
      <w:r w:rsidR="00B21869">
        <w:t xml:space="preserve">menées dans le cadre </w:t>
      </w:r>
      <w:r w:rsidR="00635CE8">
        <w:t>du plan régional de santé au travail ;</w:t>
      </w:r>
    </w:p>
    <w:p w:rsidR="005F6A7E" w:rsidRDefault="005F6A7E" w:rsidP="005F6A7E">
      <w:pPr>
        <w:pStyle w:val="Paragraphedeliste"/>
        <w:numPr>
          <w:ilvl w:val="0"/>
          <w:numId w:val="2"/>
        </w:numPr>
        <w:jc w:val="both"/>
      </w:pPr>
      <w:r>
        <w:t>Formuler des préconisations</w:t>
      </w:r>
      <w:r w:rsidR="00B21869">
        <w:t xml:space="preserve"> d’actions</w:t>
      </w:r>
      <w:r w:rsidR="00635CE8">
        <w:t> en matière d’orientation de la politique régionale de santé au travail.</w:t>
      </w:r>
    </w:p>
    <w:p w:rsidR="00B21869" w:rsidRDefault="00B21869" w:rsidP="00B21869">
      <w:pPr>
        <w:jc w:val="both"/>
        <w:rPr>
          <w:b/>
          <w:color w:val="C00000"/>
        </w:rPr>
      </w:pPr>
      <w:r w:rsidRPr="00B21869">
        <w:rPr>
          <w:b/>
          <w:color w:val="C00000"/>
        </w:rPr>
        <w:t xml:space="preserve">COMPOSITION </w:t>
      </w:r>
      <w:r w:rsidR="00FA705E">
        <w:rPr>
          <w:b/>
          <w:color w:val="C00000"/>
        </w:rPr>
        <w:t xml:space="preserve">et ORGANISATION </w:t>
      </w:r>
      <w:r w:rsidRPr="00B21869">
        <w:rPr>
          <w:b/>
          <w:color w:val="C00000"/>
        </w:rPr>
        <w:t>DE LA COMMISSION</w:t>
      </w:r>
    </w:p>
    <w:p w:rsidR="00B21869" w:rsidRDefault="00B21869" w:rsidP="00B21869">
      <w:pPr>
        <w:jc w:val="both"/>
      </w:pPr>
      <w:r w:rsidRPr="00FA705E">
        <w:rPr>
          <w:b/>
          <w:color w:val="C00000"/>
        </w:rPr>
        <w:t>Co-animation</w:t>
      </w:r>
      <w:r w:rsidR="00FA705E" w:rsidRPr="00FA705E">
        <w:rPr>
          <w:color w:val="C00000"/>
        </w:rPr>
        <w:t> </w:t>
      </w:r>
      <w:r w:rsidR="00FA705E">
        <w:t>: Géraldine B</w:t>
      </w:r>
      <w:r w:rsidR="00635CE8">
        <w:t>ARBONI</w:t>
      </w:r>
      <w:r w:rsidR="00FA705E" w:rsidRPr="00FA705E">
        <w:t xml:space="preserve"> </w:t>
      </w:r>
      <w:r w:rsidR="00FA705E">
        <w:t>et Brice B</w:t>
      </w:r>
      <w:r w:rsidR="00635CE8">
        <w:t>RUNIER (DIRECCTE PACA</w:t>
      </w:r>
      <w:r w:rsidR="00FA705E">
        <w:t xml:space="preserve">) et </w:t>
      </w:r>
      <w:r w:rsidR="00FA705E" w:rsidRPr="00FA705E">
        <w:t>Jean-Jacques BLANC</w:t>
      </w:r>
      <w:r w:rsidR="00FA705E">
        <w:t xml:space="preserve"> (titulaire FO)</w:t>
      </w:r>
    </w:p>
    <w:p w:rsidR="00FA705E" w:rsidRDefault="00FA705E" w:rsidP="00B21869">
      <w:pPr>
        <w:jc w:val="both"/>
      </w:pPr>
      <w:r w:rsidRPr="00FA705E">
        <w:rPr>
          <w:b/>
          <w:color w:val="C00000"/>
        </w:rPr>
        <w:t>Participants</w:t>
      </w:r>
      <w:r>
        <w:t xml:space="preserve"> : </w:t>
      </w:r>
      <w:r w:rsidR="00FC571D">
        <w:tab/>
      </w:r>
      <w:r w:rsidR="00771E8D">
        <w:t>Danielle ALBIN (CGT)</w:t>
      </w:r>
      <w:r w:rsidR="00771E8D">
        <w:t xml:space="preserve">, </w:t>
      </w:r>
      <w:r w:rsidR="00771E8D">
        <w:t>Marc DALMASSO (CFDT)</w:t>
      </w:r>
      <w:r w:rsidR="00771E8D">
        <w:t xml:space="preserve">, </w:t>
      </w:r>
      <w:r w:rsidR="00771E8D">
        <w:t xml:space="preserve">Gilles FONTAINE (MEDEF), </w:t>
      </w:r>
      <w:r w:rsidR="00771E8D">
        <w:t>Aurélie MASURE-FILIPI (U2P)</w:t>
      </w:r>
    </w:p>
    <w:p w:rsidR="00FA705E" w:rsidRDefault="00FA705E" w:rsidP="00B21869">
      <w:pPr>
        <w:jc w:val="both"/>
      </w:pPr>
      <w:r w:rsidRPr="00FA705E">
        <w:rPr>
          <w:b/>
          <w:color w:val="C00000"/>
        </w:rPr>
        <w:t>Lieu des rencontres</w:t>
      </w:r>
      <w:r w:rsidRPr="00FA705E">
        <w:rPr>
          <w:color w:val="C00000"/>
        </w:rPr>
        <w:t> </w:t>
      </w:r>
      <w:r>
        <w:t xml:space="preserve">: </w:t>
      </w:r>
      <w:r w:rsidR="005E5BE2">
        <w:t>DIRECCTE</w:t>
      </w:r>
      <w:r w:rsidR="00FC571D">
        <w:t xml:space="preserve"> PACA</w:t>
      </w:r>
    </w:p>
    <w:p w:rsidR="00FA705E" w:rsidRDefault="005E5BE2" w:rsidP="00B21869">
      <w:pPr>
        <w:jc w:val="both"/>
      </w:pPr>
      <w:r>
        <w:rPr>
          <w:b/>
          <w:color w:val="C00000"/>
        </w:rPr>
        <w:t>Nombre</w:t>
      </w:r>
      <w:r w:rsidR="00FA705E" w:rsidRPr="00FA705E">
        <w:rPr>
          <w:b/>
          <w:color w:val="C00000"/>
        </w:rPr>
        <w:t xml:space="preserve"> de rencontres</w:t>
      </w:r>
      <w:r w:rsidR="00FA705E" w:rsidRPr="00FA705E">
        <w:rPr>
          <w:color w:val="C00000"/>
        </w:rPr>
        <w:t> </w:t>
      </w:r>
      <w:r w:rsidR="00FA705E">
        <w:t xml:space="preserve">: </w:t>
      </w:r>
      <w:r>
        <w:t>2 à 3 rencontres</w:t>
      </w:r>
    </w:p>
    <w:p w:rsidR="00B21869" w:rsidRDefault="00FA705E" w:rsidP="00B21869">
      <w:pPr>
        <w:jc w:val="both"/>
      </w:pPr>
      <w:r w:rsidRPr="00FA705E">
        <w:rPr>
          <w:b/>
          <w:color w:val="C00000"/>
        </w:rPr>
        <w:t>Durée</w:t>
      </w:r>
      <w:r>
        <w:t xml:space="preserve"> : </w:t>
      </w:r>
      <w:r w:rsidR="00771E8D">
        <w:t>janvier 2018</w:t>
      </w:r>
      <w:r w:rsidR="005E5BE2">
        <w:t xml:space="preserve"> à </w:t>
      </w:r>
      <w:r w:rsidR="00771E8D">
        <w:t>avril</w:t>
      </w:r>
      <w:r w:rsidR="005E5BE2">
        <w:t xml:space="preserve"> 2018</w:t>
      </w:r>
    </w:p>
    <w:sectPr w:rsidR="00B21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464CD"/>
    <w:multiLevelType w:val="hybridMultilevel"/>
    <w:tmpl w:val="96A24C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21698A"/>
    <w:multiLevelType w:val="hybridMultilevel"/>
    <w:tmpl w:val="4322C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C34A0"/>
    <w:multiLevelType w:val="hybridMultilevel"/>
    <w:tmpl w:val="3EFA6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1256F"/>
    <w:multiLevelType w:val="hybridMultilevel"/>
    <w:tmpl w:val="791A4D5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FE"/>
    <w:rsid w:val="003266CD"/>
    <w:rsid w:val="00367F6C"/>
    <w:rsid w:val="005E5BE2"/>
    <w:rsid w:val="005F6A7E"/>
    <w:rsid w:val="00635CE8"/>
    <w:rsid w:val="00721889"/>
    <w:rsid w:val="00771E8D"/>
    <w:rsid w:val="007E2AE8"/>
    <w:rsid w:val="00B21869"/>
    <w:rsid w:val="00D504B4"/>
    <w:rsid w:val="00F23BFE"/>
    <w:rsid w:val="00FA705E"/>
    <w:rsid w:val="00FC571D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6A7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C5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6A7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FC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CATSIVELAS Geraldine (DR-PACA)</dc:creator>
  <cp:lastModifiedBy>BRUNIER Brice (UD013)</cp:lastModifiedBy>
  <cp:revision>7</cp:revision>
  <dcterms:created xsi:type="dcterms:W3CDTF">2017-11-23T15:24:00Z</dcterms:created>
  <dcterms:modified xsi:type="dcterms:W3CDTF">2017-11-23T15:38:00Z</dcterms:modified>
</cp:coreProperties>
</file>